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65" w:rsidRDefault="009F739F" w:rsidP="00EB0B8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it-IT"/>
        </w:rPr>
        <w:drawing>
          <wp:inline distT="0" distB="0" distL="0" distR="0">
            <wp:extent cx="1666875" cy="1683058"/>
            <wp:effectExtent l="0" t="0" r="0" b="0"/>
            <wp:docPr id="2" name="Immagine 2" descr="C:\Users\Barbara\Desktop\simbolo nuovo buona politica 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simbolo nuovo buona politica p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8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A00" w:rsidRPr="000E0A00">
        <w:rPr>
          <w:rFonts w:ascii="Times New Roman" w:hAnsi="Times New Roman" w:cs="Times New Roman"/>
          <w:i/>
          <w:sz w:val="28"/>
          <w:szCs w:val="28"/>
        </w:rPr>
        <w:t>Comunicato Stampa</w:t>
      </w:r>
      <w:r w:rsidR="000E0A00">
        <w:rPr>
          <w:rFonts w:ascii="Times New Roman" w:hAnsi="Times New Roman" w:cs="Times New Roman"/>
          <w:i/>
          <w:sz w:val="28"/>
          <w:szCs w:val="28"/>
        </w:rPr>
        <w:t xml:space="preserve"> del 28 </w:t>
      </w:r>
      <w:bookmarkStart w:id="0" w:name="_GoBack"/>
      <w:bookmarkEnd w:id="0"/>
      <w:r w:rsidR="000E0A00">
        <w:rPr>
          <w:rFonts w:ascii="Times New Roman" w:hAnsi="Times New Roman" w:cs="Times New Roman"/>
          <w:i/>
          <w:sz w:val="28"/>
          <w:szCs w:val="28"/>
        </w:rPr>
        <w:t xml:space="preserve">settembre 2014 </w:t>
      </w:r>
    </w:p>
    <w:p w:rsidR="00681365" w:rsidRDefault="00681365" w:rsidP="00EB0B8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0B83" w:rsidRPr="00127121" w:rsidRDefault="00EB0B83" w:rsidP="00EB0B83">
      <w:pPr>
        <w:shd w:val="clear" w:color="auto" w:fill="FFFFFF" w:themeFill="background1"/>
        <w:spacing w:after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it-IT"/>
        </w:rPr>
      </w:pPr>
      <w:r w:rsidRPr="00127121">
        <w:rPr>
          <w:rFonts w:ascii="Times New Roman" w:hAnsi="Times New Roman" w:cs="Times New Roman"/>
          <w:b/>
          <w:sz w:val="28"/>
          <w:szCs w:val="28"/>
        </w:rPr>
        <w:t xml:space="preserve">Nel Comune di Lugo, il Gruppo consiliare Per la Buona Politica (Silvano </w:t>
      </w:r>
      <w:proofErr w:type="spellStart"/>
      <w:r w:rsidRPr="00127121">
        <w:rPr>
          <w:rFonts w:ascii="Times New Roman" w:hAnsi="Times New Roman" w:cs="Times New Roman"/>
          <w:b/>
          <w:sz w:val="28"/>
          <w:szCs w:val="28"/>
        </w:rPr>
        <w:t>Verlicchi</w:t>
      </w:r>
      <w:proofErr w:type="spellEnd"/>
      <w:r w:rsidRPr="00127121">
        <w:rPr>
          <w:rFonts w:ascii="Times New Roman" w:hAnsi="Times New Roman" w:cs="Times New Roman"/>
          <w:b/>
          <w:sz w:val="28"/>
          <w:szCs w:val="28"/>
        </w:rPr>
        <w:t xml:space="preserve"> ne è il Capogruppo) </w:t>
      </w:r>
      <w:r w:rsidR="00011742" w:rsidRPr="00127121">
        <w:rPr>
          <w:rFonts w:ascii="Times New Roman" w:hAnsi="Times New Roman" w:cs="Times New Roman"/>
          <w:b/>
          <w:sz w:val="28"/>
          <w:szCs w:val="28"/>
        </w:rPr>
        <w:t>denuncia, ancora una volta,</w:t>
      </w:r>
      <w:r w:rsidRPr="00127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742" w:rsidRPr="00127121">
        <w:rPr>
          <w:rFonts w:ascii="Times New Roman" w:hAnsi="Times New Roman" w:cs="Times New Roman"/>
          <w:b/>
          <w:sz w:val="28"/>
          <w:szCs w:val="28"/>
        </w:rPr>
        <w:t>come</w:t>
      </w:r>
      <w:r w:rsidRPr="00127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121">
        <w:rPr>
          <w:rFonts w:ascii="Times New Roman" w:eastAsia="Arial" w:hAnsi="Times New Roman" w:cs="Times New Roman"/>
          <w:b/>
          <w:color w:val="000000"/>
          <w:sz w:val="28"/>
          <w:szCs w:val="28"/>
          <w:lang w:eastAsia="it-IT"/>
        </w:rPr>
        <w:t>la Tari sia basata su criteri non legati alla quantità effettiva dei rifiuti prodotti.</w:t>
      </w:r>
    </w:p>
    <w:p w:rsidR="00EB0B83" w:rsidRPr="00127121" w:rsidRDefault="00EB0B83" w:rsidP="00EB0B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12712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Le aliquote sono più basse rispetto </w:t>
      </w:r>
      <w:r w:rsidRPr="00127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 quelle approvate a marzo 2014</w:t>
      </w:r>
      <w:r w:rsidRPr="0012712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ma molto più alte rispetto all’anno 2013.</w:t>
      </w:r>
    </w:p>
    <w:p w:rsidR="00EB0B83" w:rsidRPr="00127121" w:rsidRDefault="00EB0B83" w:rsidP="00EB0B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12712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L’alta pressione fiscale esistente, unita agli incrementi tariffari sul 2013, comprime i redditi delle famiglie e mortifica ogni azione di crescita.</w:t>
      </w:r>
    </w:p>
    <w:p w:rsidR="00127121" w:rsidRDefault="00127121" w:rsidP="00EB0B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27121" w:rsidRPr="00127121" w:rsidRDefault="00127121" w:rsidP="00127121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127121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it-IT"/>
        </w:rPr>
        <w:t>NE</w:t>
      </w:r>
      <w:r w:rsidR="00C22CB7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it-IT"/>
        </w:rPr>
        <w:t>SSUNA TREGUA PER I CONTRIBUENTI</w:t>
      </w:r>
      <w:r w:rsidRPr="00127121">
        <w:rPr>
          <w:rFonts w:ascii="Times New Roman" w:eastAsia="Arial" w:hAnsi="Times New Roman" w:cs="Times New Roman"/>
          <w:b/>
          <w:color w:val="000000"/>
          <w:sz w:val="24"/>
          <w:szCs w:val="24"/>
          <w:u w:val="single"/>
          <w:lang w:eastAsia="it-IT"/>
        </w:rPr>
        <w:t>!</w:t>
      </w:r>
    </w:p>
    <w:p w:rsidR="00127121" w:rsidRPr="00127121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127121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Da qui alla fine dell’anno si profila, per i contribuenti, un nuovo salasso di tasse e balzelli vari, </w:t>
      </w:r>
      <w:r w:rsidRPr="00127121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Tari, Tasi, </w:t>
      </w:r>
      <w:proofErr w:type="spellStart"/>
      <w:r w:rsidRPr="00127121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Imu</w:t>
      </w:r>
      <w:proofErr w:type="spellEnd"/>
      <w:r w:rsidRPr="00127121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e altri adempimenti per le imprese.</w:t>
      </w:r>
    </w:p>
    <w:p w:rsidR="00127121" w:rsidRPr="00127121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127121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Si tratta di un insieme di </w:t>
      </w:r>
      <w:r w:rsidRPr="00127121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it-IT"/>
        </w:rPr>
        <w:t>provvedimenti</w:t>
      </w:r>
      <w:r w:rsidRPr="00127121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particolarmente onerosi per famiglie e imprese con incrementi, </w:t>
      </w:r>
      <w:r w:rsidRPr="00127121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it-IT"/>
        </w:rPr>
        <w:t>per quanto attiene la Tari</w:t>
      </w:r>
      <w:r w:rsidRPr="00127121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, che derivano dall’adozione di criteri potenziali, </w:t>
      </w:r>
      <w:r w:rsidRPr="00127121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it-IT"/>
        </w:rPr>
        <w:t>non legati alla quantità effettiva dei rifiuti prodotti</w:t>
      </w:r>
      <w:r w:rsidRPr="00127121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.</w:t>
      </w:r>
    </w:p>
    <w:p w:rsidR="00127121" w:rsidRPr="00127121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127121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Queste linee determinano una pesante penalizzazione per il sistema delle imprese, come denunciato in più occasioni da rappresentanti delle associazioni imprenditoriali e dalle organizzazioni sindacali.</w:t>
      </w:r>
    </w:p>
    <w:p w:rsidR="00127121" w:rsidRPr="00127121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p w:rsidR="00127121" w:rsidRPr="00127121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127121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Al 30 di settembre 2014 è in scadenza la seconda rata Tari</w:t>
      </w:r>
      <w:r w:rsidRPr="00127121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, con insignificanti diminuzioni di importo sia per famiglie sia per attività produttive, se riferite alla prima rata.</w:t>
      </w:r>
    </w:p>
    <w:p w:rsidR="00127121" w:rsidRPr="00127121" w:rsidRDefault="00127121" w:rsidP="00127121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127121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La tassa è sicuramente più elevata se rapportata proporzionalmente a quanto pagato nel 2013.</w:t>
      </w:r>
    </w:p>
    <w:p w:rsidR="00127121" w:rsidRPr="00127121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127121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Molto è stato detto su questa tariffa che ognuno dovrebbe pagare in base alla quantità di rifiuti conferiti/prodotti o, almeno, sulla base di previsioni attendibili, come già accade in altre realtà territoriali.</w:t>
      </w:r>
    </w:p>
    <w:p w:rsidR="00127121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p w:rsidR="00127121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Molto poco si sa sulla genesi della tariffazione in uso nella nostra Regione. Ogni anno infatti è redatto dal cosiddetto Consiglio Locale (organismo provinciale di cui fanno parte tutti i sindaci) il Piano Economico Finanziario (P.E.F.) con tutte le voci di costo,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ripartite in fisse e variabili</w:t>
      </w: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.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Il</w:t>
      </w: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Pef</w:t>
      </w:r>
      <w:proofErr w:type="spellEnd"/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è formulato tenendo conto delle relazioni prodotte dall’attuale gestore (Hera) per l’anno in riferimento; è poi deliberato dalla maggioranza dei sindaci e, successivamente, inviato ad </w:t>
      </w:r>
      <w:proofErr w:type="spellStart"/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Atersir</w:t>
      </w:r>
      <w:proofErr w:type="spellEnd"/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(Agenzia Territoriale Emilia Romagna Servizio Idrico Rifiuti) che lo approva con la ripartizione del montante prefissato per ogni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Comune (Lugo 2014, € 4.812.428).</w:t>
      </w:r>
    </w:p>
    <w:p w:rsidR="00127121" w:rsidRPr="00A3238F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Le amministrazioni comunali aggiungono, al montante di base, altri importi che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,</w:t>
      </w: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per il nostro Comune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,</w:t>
      </w: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sono:</w:t>
      </w:r>
    </w:p>
    <w:p w:rsidR="00127121" w:rsidRPr="00A3238F" w:rsidRDefault="00127121" w:rsidP="0012712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Iva 10% per 481.242 €</w:t>
      </w:r>
    </w:p>
    <w:p w:rsidR="00127121" w:rsidRPr="00A3238F" w:rsidRDefault="00127121" w:rsidP="0012712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quota </w:t>
      </w:r>
      <w:proofErr w:type="spellStart"/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Carc</w:t>
      </w:r>
      <w:proofErr w:type="spellEnd"/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(Costo accertamento, riscossione, contenzioso) per 151.768 €</w:t>
      </w:r>
    </w:p>
    <w:p w:rsidR="00127121" w:rsidRPr="00A3238F" w:rsidRDefault="00127121" w:rsidP="0012712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quota per insoluti (pari al 3,52% sull’importo totale) per 191.679 €</w:t>
      </w:r>
    </w:p>
    <w:p w:rsidR="00127121" w:rsidRPr="00A3238F" w:rsidRDefault="00127121" w:rsidP="0012712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riduzioni per utenze domestiche e non, per 232.709 €</w:t>
      </w:r>
    </w:p>
    <w:p w:rsidR="00127121" w:rsidRPr="00A3238F" w:rsidRDefault="00127121" w:rsidP="0012712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quota fondo sociale per servizi e politiche territoriali, 18.598 €</w:t>
      </w:r>
    </w:p>
    <w:p w:rsidR="00127121" w:rsidRPr="00A3238F" w:rsidRDefault="00127121" w:rsidP="00127121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addizionale provinciale pari al 5% per 272.271 €</w:t>
      </w:r>
    </w:p>
    <w:p w:rsidR="00127121" w:rsidRPr="00A3238F" w:rsidRDefault="00127121" w:rsidP="00127121">
      <w:pPr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Tutto ciò contribuisce a determinare la somma totale pari a </w:t>
      </w:r>
      <w:r w:rsidRPr="00A3238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6.140.475 €</w:t>
      </w:r>
    </w:p>
    <w:p w:rsidR="00127121" w:rsidRPr="00A3238F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p w:rsidR="00127121" w:rsidRPr="00A3238F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222CE7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E’ una cifra esorbitante</w:t>
      </w: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, che comprende, come si diceva, </w:t>
      </w:r>
      <w:r w:rsidRPr="00222CE7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it-IT"/>
        </w:rPr>
        <w:t>costi variabili</w:t>
      </w: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connessi a raccolta, trasporto, trattamento, smaltimento, riciclo, raccolta differenziata per poco più del 50%. </w:t>
      </w:r>
    </w:p>
    <w:p w:rsidR="00127121" w:rsidRPr="00A3238F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La restante parte è dovuta a </w:t>
      </w:r>
      <w:r w:rsidRPr="00222CE7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it-IT"/>
        </w:rPr>
        <w:t>costi fissi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generali di gestione: </w:t>
      </w: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personale, mezzi e costi operativi, ammortamenti, accantonamenti, remunerazioni del capitale investito dal gestore (Hera).</w:t>
      </w:r>
    </w:p>
    <w:p w:rsidR="00127121" w:rsidRPr="00A3238F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La convenzione che il Comune di Lugo ha sottoscritto con Hera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,</w:t>
      </w: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per l’anno corrente, ha una </w:t>
      </w:r>
      <w:r w:rsidRPr="00222CE7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spesa aggiuntiva di 151.788 €</w:t>
      </w: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.</w:t>
      </w:r>
    </w:p>
    <w:p w:rsidR="00127121" w:rsidRPr="00A3238F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Per completezza di informazione, i contribuenti lughesi, per il principio di sussidiarietà, contribuiscono con 19.637 € alla quota regionale a favore del ripristino danni derivati dagli eventi sismici anno 2012 e per 16.441 € alla quota spettante ad </w:t>
      </w:r>
      <w:proofErr w:type="spellStart"/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Atersir</w:t>
      </w:r>
      <w:proofErr w:type="spellEnd"/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(costi comunque compresi in quelli fissi).</w:t>
      </w:r>
    </w:p>
    <w:p w:rsidR="00127121" w:rsidRPr="00A3238F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p w:rsidR="00127121" w:rsidRPr="00A3238F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Ciò evidenziato, quali ulteriori riflessioni possiamo fare?</w:t>
      </w:r>
    </w:p>
    <w:p w:rsidR="00127121" w:rsidRPr="00A3238F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Sicuramente, </w:t>
      </w:r>
      <w:r w:rsidRPr="00222CE7"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it-IT"/>
        </w:rPr>
        <w:t>non essendo più tempo di attese e considerato il perdurare della crisi</w:t>
      </w: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A3238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è indispensabile fissare misure per dare sostegno alle famiglie e imprese</w:t>
      </w: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.</w:t>
      </w:r>
    </w:p>
    <w:p w:rsidR="00127121" w:rsidRPr="00A3238F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Pensiamo che la Pubblica Amministrazione debba avviare:</w:t>
      </w:r>
    </w:p>
    <w:p w:rsidR="00127121" w:rsidRPr="00A3238F" w:rsidRDefault="00127121" w:rsidP="00127121">
      <w:pPr>
        <w:numPr>
          <w:ilvl w:val="0"/>
          <w:numId w:val="1"/>
        </w:numPr>
        <w:spacing w:after="0"/>
        <w:ind w:left="1418" w:hanging="425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studi di fattibilità per iniziare nuove sperimentazioni di sistemi innovativi di raccolta più economici;</w:t>
      </w:r>
    </w:p>
    <w:p w:rsidR="00127121" w:rsidRPr="00A3238F" w:rsidRDefault="00127121" w:rsidP="00127121">
      <w:pPr>
        <w:numPr>
          <w:ilvl w:val="0"/>
          <w:numId w:val="1"/>
        </w:numPr>
        <w:spacing w:after="0"/>
        <w:ind w:left="1418" w:hanging="425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riduzioni di costi di gestione; </w:t>
      </w:r>
    </w:p>
    <w:p w:rsidR="00127121" w:rsidRPr="00A3238F" w:rsidRDefault="00127121" w:rsidP="00127121">
      <w:pPr>
        <w:numPr>
          <w:ilvl w:val="0"/>
          <w:numId w:val="1"/>
        </w:numPr>
        <w:spacing w:after="0"/>
        <w:ind w:left="1418" w:hanging="425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revisione del contratto di servizio col gestore (in scadenza al 31.12.2014) con recupero, per ogni voce di costo;</w:t>
      </w:r>
    </w:p>
    <w:p w:rsidR="00127121" w:rsidRPr="00A3238F" w:rsidRDefault="00127121" w:rsidP="00127121">
      <w:pPr>
        <w:numPr>
          <w:ilvl w:val="0"/>
          <w:numId w:val="1"/>
        </w:numPr>
        <w:spacing w:after="0"/>
        <w:ind w:left="1418" w:hanging="425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previsione di ulteriori  riduzioni indicate dalla Legge 147/13.</w:t>
      </w:r>
    </w:p>
    <w:p w:rsidR="00127121" w:rsidRPr="00A3238F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p w:rsidR="00127121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L’amministrazione comunale deve essere più incisiva al tavolo di confronto provinciale</w:t>
      </w: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, con proposte volte a formulare un </w:t>
      </w:r>
      <w:proofErr w:type="spellStart"/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Pef</w:t>
      </w:r>
      <w:proofErr w:type="spellEnd"/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per l’anno 2015 con importo inferiore affinché anche le voci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aggiuntive (Iva,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carc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, addiziona</w:t>
      </w: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le </w:t>
      </w:r>
      <w:proofErr w:type="spellStart"/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prov.le</w:t>
      </w:r>
      <w:proofErr w:type="spellEnd"/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, ecc.) incidano in diminuzione, </w:t>
      </w:r>
      <w:r w:rsidRPr="00A3238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per portare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le tariffe dell’anno venturo a</w:t>
      </w:r>
      <w:r w:rsidRPr="00A3238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un calo generalizzato</w:t>
      </w:r>
      <w:r w:rsidRPr="00222CE7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,</w:t>
      </w:r>
      <w:r w:rsidRPr="00A3238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 xml:space="preserve"> concreto ed effettivo</w:t>
      </w: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.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127121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</w:p>
    <w:p w:rsidR="00681365" w:rsidRPr="00127121" w:rsidRDefault="00127121" w:rsidP="00127121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A3238F">
        <w:rPr>
          <w:rFonts w:ascii="Times New Roman" w:eastAsia="Arial" w:hAnsi="Times New Roman" w:cs="Times New Roman"/>
          <w:b/>
          <w:color w:val="000000"/>
          <w:sz w:val="24"/>
          <w:szCs w:val="24"/>
          <w:lang w:eastAsia="it-IT"/>
        </w:rPr>
        <w:t>La pubblica amministrazione deve interpretare al meglio le esigenze e le difficoltà di famiglie e imprese</w:t>
      </w:r>
      <w:r w:rsidRPr="00A3238F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.</w:t>
      </w:r>
    </w:p>
    <w:sectPr w:rsidR="00681365" w:rsidRPr="00127121" w:rsidSect="00127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C5D"/>
    <w:multiLevelType w:val="hybridMultilevel"/>
    <w:tmpl w:val="8D30E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83018"/>
    <w:multiLevelType w:val="multilevel"/>
    <w:tmpl w:val="79E4A248"/>
    <w:lvl w:ilvl="0">
      <w:start w:val="1"/>
      <w:numFmt w:val="bullet"/>
      <w:lvlText w:val="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61"/>
    <w:rsid w:val="00011742"/>
    <w:rsid w:val="000E0A00"/>
    <w:rsid w:val="000F1261"/>
    <w:rsid w:val="00127121"/>
    <w:rsid w:val="003D40E3"/>
    <w:rsid w:val="00681365"/>
    <w:rsid w:val="009F739F"/>
    <w:rsid w:val="00C22CB7"/>
    <w:rsid w:val="00DB13F1"/>
    <w:rsid w:val="00EB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B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B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9</cp:revision>
  <dcterms:created xsi:type="dcterms:W3CDTF">2014-09-27T15:53:00Z</dcterms:created>
  <dcterms:modified xsi:type="dcterms:W3CDTF">2014-09-27T17:41:00Z</dcterms:modified>
</cp:coreProperties>
</file>